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6A" w:rsidRDefault="00AB47D2">
      <w:pPr>
        <w:rPr>
          <w:rFonts w:ascii="Arial" w:hAnsi="Arial" w:cs="Arial"/>
          <w:b/>
        </w:rPr>
      </w:pPr>
      <w:r>
        <w:rPr>
          <w:rFonts w:ascii="Arial" w:hAnsi="Arial" w:cs="Arial"/>
          <w:b/>
        </w:rPr>
        <w:t>Considering Schedule Contingency</w:t>
      </w:r>
    </w:p>
    <w:p w:rsidR="00AB47D2" w:rsidRPr="00AB47D2" w:rsidRDefault="00AB47D2" w:rsidP="00AB47D2">
      <w:pPr>
        <w:spacing w:before="120"/>
        <w:rPr>
          <w:rFonts w:ascii="Garamond" w:hAnsi="Garamond" w:cs="Arial"/>
          <w:sz w:val="22"/>
          <w:szCs w:val="22"/>
        </w:rPr>
      </w:pPr>
      <w:r w:rsidRPr="00AB47D2">
        <w:rPr>
          <w:rFonts w:ascii="Garamond" w:hAnsi="Garamond" w:cs="Arial"/>
          <w:sz w:val="22"/>
          <w:szCs w:val="22"/>
        </w:rPr>
        <w:t>The most important factors in determining a project’s schedule are a detailed Work Breakdown Structure, and effective estimates. However, every project time line is subject to a variety of risk factors. To account for complexity and unanticipated events, project managers should build contingency time, or “padding,” into their schedule. The Contingency Matrix below provides a quick way to analyze your project’s risk factors, and determine how much padding to add to your schedule.</w:t>
      </w:r>
    </w:p>
    <w:tbl>
      <w:tblPr>
        <w:tblpPr w:leftFromText="180" w:rightFromText="180" w:vertAnchor="page" w:horzAnchor="margin"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1459"/>
        <w:gridCol w:w="1436"/>
        <w:gridCol w:w="1452"/>
        <w:gridCol w:w="1485"/>
        <w:gridCol w:w="986"/>
      </w:tblGrid>
      <w:tr w:rsidR="00AB47D2" w:rsidRPr="008B7BCB" w:rsidTr="00AB47D2">
        <w:trPr>
          <w:trHeight w:val="314"/>
        </w:trPr>
        <w:tc>
          <w:tcPr>
            <w:tcW w:w="8856" w:type="dxa"/>
            <w:gridSpan w:val="6"/>
            <w:shd w:val="clear" w:color="auto" w:fill="800000"/>
          </w:tcPr>
          <w:p w:rsidR="00AB47D2" w:rsidRPr="008B7BCB" w:rsidRDefault="000F1B13" w:rsidP="00AB47D2">
            <w:pPr>
              <w:rPr>
                <w:rFonts w:ascii="Arial-BoldMT" w:hAnsi="Arial-BoldMT" w:cs="Arial-BoldMT"/>
                <w:b/>
                <w:i/>
                <w:iCs/>
                <w:sz w:val="16"/>
                <w:szCs w:val="16"/>
              </w:rPr>
            </w:pPr>
            <w:r>
              <w:rPr>
                <w:rFonts w:ascii="Arial" w:hAnsi="Arial" w:cs="Arial-BoldMT"/>
                <w:b/>
                <w:bCs/>
                <w:sz w:val="18"/>
                <w:szCs w:val="18"/>
              </w:rPr>
              <w:t>ITS</w:t>
            </w:r>
            <w:r w:rsidR="00AB47D2" w:rsidRPr="008B7BCB">
              <w:rPr>
                <w:rFonts w:ascii="Arial" w:hAnsi="Arial" w:cs="Arial-BoldMT"/>
                <w:b/>
                <w:bCs/>
                <w:sz w:val="18"/>
                <w:szCs w:val="18"/>
              </w:rPr>
              <w:t xml:space="preserve"> </w:t>
            </w:r>
            <w:r w:rsidR="00AB47D2">
              <w:rPr>
                <w:rFonts w:ascii="Arial" w:hAnsi="Arial" w:cs="Arial-BoldMT"/>
                <w:b/>
                <w:bCs/>
                <w:sz w:val="18"/>
                <w:szCs w:val="18"/>
              </w:rPr>
              <w:t xml:space="preserve">Project </w:t>
            </w:r>
          </w:p>
        </w:tc>
      </w:tr>
      <w:tr w:rsidR="00AB47D2" w:rsidRPr="008B7BCB" w:rsidTr="00F0014E">
        <w:trPr>
          <w:trHeight w:val="658"/>
        </w:trPr>
        <w:tc>
          <w:tcPr>
            <w:tcW w:w="2038" w:type="dxa"/>
            <w:tcBorders>
              <w:bottom w:val="single" w:sz="4" w:space="0" w:color="auto"/>
            </w:tcBorders>
            <w:shd w:val="clear" w:color="auto" w:fill="F3F3F3"/>
          </w:tcPr>
          <w:p w:rsidR="00AB47D2" w:rsidRPr="008B7BCB" w:rsidRDefault="00AB47D2" w:rsidP="00AB47D2">
            <w:pPr>
              <w:rPr>
                <w:rFonts w:ascii="Arial-BoldMT" w:hAnsi="Arial-BoldMT" w:cs="Arial-BoldMT"/>
                <w:b/>
                <w:i/>
                <w:iCs/>
                <w:sz w:val="16"/>
                <w:szCs w:val="16"/>
              </w:rPr>
            </w:pPr>
            <w:r w:rsidRPr="008B7BCB">
              <w:rPr>
                <w:rFonts w:ascii="Arial" w:hAnsi="Arial" w:cs="Arial-BoldMT"/>
                <w:b/>
                <w:bCs/>
                <w:sz w:val="18"/>
                <w:szCs w:val="18"/>
              </w:rPr>
              <w:t>Risk Factor</w:t>
            </w:r>
          </w:p>
        </w:tc>
        <w:tc>
          <w:tcPr>
            <w:tcW w:w="1459" w:type="dxa"/>
            <w:tcBorders>
              <w:bottom w:val="single" w:sz="4" w:space="0" w:color="auto"/>
            </w:tcBorders>
            <w:shd w:val="clear" w:color="auto" w:fill="F3F3F3"/>
          </w:tcPr>
          <w:p w:rsidR="00AB47D2" w:rsidRPr="008B7BCB" w:rsidRDefault="00AB47D2" w:rsidP="00AB47D2">
            <w:pPr>
              <w:rPr>
                <w:rFonts w:ascii="Arial-BoldMT" w:hAnsi="Arial-BoldMT" w:cs="Arial-BoldMT"/>
                <w:b/>
                <w:i/>
                <w:iCs/>
                <w:sz w:val="16"/>
                <w:szCs w:val="16"/>
              </w:rPr>
            </w:pPr>
            <w:r w:rsidRPr="008B7BCB">
              <w:rPr>
                <w:rFonts w:ascii="Arial" w:hAnsi="Arial" w:cs="Arial-BoldMT"/>
                <w:b/>
                <w:bCs/>
                <w:sz w:val="18"/>
                <w:szCs w:val="18"/>
              </w:rPr>
              <w:t>Low (0)</w:t>
            </w:r>
          </w:p>
        </w:tc>
        <w:tc>
          <w:tcPr>
            <w:tcW w:w="1436" w:type="dxa"/>
            <w:tcBorders>
              <w:bottom w:val="single" w:sz="4" w:space="0" w:color="auto"/>
            </w:tcBorders>
            <w:shd w:val="clear" w:color="auto" w:fill="FF00FF"/>
          </w:tcPr>
          <w:p w:rsidR="00AB47D2" w:rsidRPr="008B7BCB" w:rsidRDefault="00AB47D2" w:rsidP="00AB47D2">
            <w:pPr>
              <w:rPr>
                <w:rFonts w:ascii="Arial-BoldMT" w:hAnsi="Arial-BoldMT" w:cs="Arial-BoldMT"/>
                <w:b/>
                <w:i/>
                <w:iCs/>
                <w:sz w:val="16"/>
                <w:szCs w:val="16"/>
              </w:rPr>
            </w:pPr>
            <w:r w:rsidRPr="008B7BCB">
              <w:rPr>
                <w:rFonts w:ascii="Arial" w:hAnsi="Arial" w:cs="Arial-BoldMT"/>
                <w:b/>
                <w:bCs/>
                <w:sz w:val="18"/>
                <w:szCs w:val="18"/>
              </w:rPr>
              <w:t>Medium (1)</w:t>
            </w:r>
          </w:p>
        </w:tc>
        <w:tc>
          <w:tcPr>
            <w:tcW w:w="1452" w:type="dxa"/>
            <w:tcBorders>
              <w:bottom w:val="single" w:sz="4" w:space="0" w:color="auto"/>
            </w:tcBorders>
            <w:shd w:val="clear" w:color="auto" w:fill="FF0000"/>
          </w:tcPr>
          <w:p w:rsidR="00AB47D2" w:rsidRPr="008B7BCB" w:rsidRDefault="00AB47D2" w:rsidP="00AB47D2">
            <w:pPr>
              <w:rPr>
                <w:rFonts w:ascii="Arial-BoldMT" w:hAnsi="Arial-BoldMT" w:cs="Arial-BoldMT"/>
                <w:b/>
                <w:i/>
                <w:iCs/>
                <w:sz w:val="16"/>
                <w:szCs w:val="16"/>
              </w:rPr>
            </w:pPr>
            <w:r w:rsidRPr="008B7BCB">
              <w:rPr>
                <w:rFonts w:ascii="Arial" w:hAnsi="Arial" w:cs="Arial-BoldMT"/>
                <w:b/>
                <w:bCs/>
                <w:sz w:val="18"/>
                <w:szCs w:val="18"/>
              </w:rPr>
              <w:t>High (2)</w:t>
            </w:r>
          </w:p>
        </w:tc>
        <w:tc>
          <w:tcPr>
            <w:tcW w:w="1485" w:type="dxa"/>
            <w:tcBorders>
              <w:bottom w:val="single" w:sz="4" w:space="0" w:color="auto"/>
            </w:tcBorders>
            <w:shd w:val="clear" w:color="auto" w:fill="800000"/>
          </w:tcPr>
          <w:p w:rsidR="00AB47D2" w:rsidRPr="008B7BCB" w:rsidRDefault="00AB47D2" w:rsidP="00AB47D2">
            <w:pPr>
              <w:widowControl w:val="0"/>
              <w:autoSpaceDE w:val="0"/>
              <w:autoSpaceDN w:val="0"/>
              <w:adjustRightInd w:val="0"/>
              <w:rPr>
                <w:rFonts w:ascii="Arial" w:hAnsi="Arial" w:cs="Arial-BoldMT"/>
                <w:b/>
                <w:bCs/>
                <w:sz w:val="18"/>
                <w:szCs w:val="18"/>
              </w:rPr>
            </w:pPr>
            <w:r w:rsidRPr="008B7BCB">
              <w:rPr>
                <w:rFonts w:ascii="Arial" w:hAnsi="Arial" w:cs="Arial-BoldMT"/>
                <w:b/>
                <w:bCs/>
                <w:sz w:val="18"/>
                <w:szCs w:val="18"/>
              </w:rPr>
              <w:t>Very High (</w:t>
            </w:r>
            <w:r>
              <w:rPr>
                <w:rFonts w:ascii="Arial" w:hAnsi="Arial" w:cs="Arial-BoldMT"/>
                <w:b/>
                <w:bCs/>
                <w:sz w:val="18"/>
                <w:szCs w:val="18"/>
              </w:rPr>
              <w:t>3/4</w:t>
            </w:r>
            <w:r w:rsidRPr="008B7BCB">
              <w:rPr>
                <w:rFonts w:ascii="Arial" w:hAnsi="Arial" w:cs="Arial-BoldMT"/>
                <w:b/>
                <w:bCs/>
                <w:sz w:val="18"/>
                <w:szCs w:val="18"/>
              </w:rPr>
              <w:t>)</w:t>
            </w:r>
          </w:p>
        </w:tc>
        <w:tc>
          <w:tcPr>
            <w:tcW w:w="986" w:type="dxa"/>
            <w:tcBorders>
              <w:bottom w:val="single" w:sz="4" w:space="0" w:color="auto"/>
            </w:tcBorders>
          </w:tcPr>
          <w:p w:rsidR="00AB47D2" w:rsidRPr="00AB47D2" w:rsidRDefault="00AB47D2" w:rsidP="00AB47D2">
            <w:pPr>
              <w:rPr>
                <w:rFonts w:ascii="Arial" w:hAnsi="Arial" w:cs="Arial"/>
                <w:b/>
                <w:iCs/>
                <w:sz w:val="18"/>
                <w:szCs w:val="18"/>
              </w:rPr>
            </w:pPr>
            <w:r w:rsidRPr="00AB47D2">
              <w:rPr>
                <w:rFonts w:ascii="Arial" w:hAnsi="Arial" w:cs="Arial"/>
                <w:b/>
                <w:iCs/>
                <w:sz w:val="18"/>
                <w:szCs w:val="18"/>
              </w:rPr>
              <w:t>Your Project's Score</w:t>
            </w:r>
          </w:p>
        </w:tc>
      </w:tr>
      <w:tr w:rsidR="00AB47D2" w:rsidRPr="00F0014E" w:rsidTr="000F1B13">
        <w:trPr>
          <w:trHeight w:val="350"/>
        </w:trPr>
        <w:tc>
          <w:tcPr>
            <w:tcW w:w="2038" w:type="dxa"/>
            <w:tcBorders>
              <w:top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Total Team Size</w:t>
            </w:r>
          </w:p>
        </w:tc>
        <w:tc>
          <w:tcPr>
            <w:tcW w:w="1459"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&lt;5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5 – 9</w:t>
            </w:r>
          </w:p>
        </w:tc>
        <w:tc>
          <w:tcPr>
            <w:tcW w:w="1452"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10 – 14</w:t>
            </w:r>
          </w:p>
        </w:tc>
        <w:tc>
          <w:tcPr>
            <w:tcW w:w="1485"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&gt;15</w:t>
            </w:r>
          </w:p>
        </w:tc>
        <w:tc>
          <w:tcPr>
            <w:tcW w:w="986" w:type="dxa"/>
            <w:tcBorders>
              <w:top w:val="single" w:sz="4" w:space="0" w:color="auto"/>
              <w:left w:val="single" w:sz="4" w:space="0" w:color="auto"/>
              <w:bottom w:val="single" w:sz="4" w:space="0" w:color="auto"/>
            </w:tcBorders>
          </w:tcPr>
          <w:p w:rsidR="00AB47D2" w:rsidRPr="000F1B13" w:rsidRDefault="00AB47D2" w:rsidP="00AB47D2">
            <w:pPr>
              <w:rPr>
                <w:rFonts w:ascii="Arial-BoldMT" w:hAnsi="Arial-BoldMT" w:cs="Arial-BoldMT"/>
                <w:iCs/>
                <w:color w:val="000000" w:themeColor="text1"/>
                <w:sz w:val="16"/>
                <w:szCs w:val="16"/>
              </w:rPr>
            </w:pPr>
          </w:p>
        </w:tc>
      </w:tr>
      <w:tr w:rsidR="00AB47D2" w:rsidRPr="00F0014E" w:rsidTr="000F1B13">
        <w:trPr>
          <w:trHeight w:val="539"/>
        </w:trPr>
        <w:tc>
          <w:tcPr>
            <w:tcW w:w="2038" w:type="dxa"/>
            <w:tcBorders>
              <w:top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Workgroups Involved</w:t>
            </w:r>
          </w:p>
        </w:tc>
        <w:tc>
          <w:tcPr>
            <w:tcW w:w="1459"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1 – 2</w:t>
            </w:r>
          </w:p>
        </w:tc>
        <w:tc>
          <w:tcPr>
            <w:tcW w:w="1436"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3 – 4</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5 – 6</w:t>
            </w:r>
          </w:p>
        </w:tc>
        <w:tc>
          <w:tcPr>
            <w:tcW w:w="1485"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&gt;7</w:t>
            </w:r>
          </w:p>
        </w:tc>
        <w:tc>
          <w:tcPr>
            <w:tcW w:w="986" w:type="dxa"/>
            <w:tcBorders>
              <w:top w:val="single" w:sz="4" w:space="0" w:color="auto"/>
              <w:left w:val="single" w:sz="4" w:space="0" w:color="auto"/>
              <w:bottom w:val="single" w:sz="4" w:space="0" w:color="auto"/>
            </w:tcBorders>
          </w:tcPr>
          <w:p w:rsidR="00AB47D2" w:rsidRPr="000F1B13" w:rsidRDefault="00AB47D2" w:rsidP="00AB47D2">
            <w:pPr>
              <w:rPr>
                <w:rFonts w:ascii="Arial-BoldMT" w:hAnsi="Arial-BoldMT" w:cs="Arial-BoldMT"/>
                <w:iCs/>
                <w:color w:val="000000" w:themeColor="text1"/>
                <w:sz w:val="16"/>
                <w:szCs w:val="16"/>
              </w:rPr>
            </w:pPr>
          </w:p>
        </w:tc>
      </w:tr>
      <w:tr w:rsidR="00AB47D2" w:rsidRPr="00F0014E" w:rsidTr="000F1B13">
        <w:trPr>
          <w:trHeight w:val="539"/>
        </w:trPr>
        <w:tc>
          <w:tcPr>
            <w:tcW w:w="2038" w:type="dxa"/>
            <w:tcBorders>
              <w:top w:val="single" w:sz="4" w:space="0" w:color="auto"/>
              <w:bottom w:val="single" w:sz="4" w:space="0" w:color="auto"/>
              <w:right w:val="single" w:sz="4" w:space="0" w:color="auto"/>
            </w:tcBorders>
          </w:tcPr>
          <w:p w:rsidR="00AB47D2" w:rsidRPr="000F1B13" w:rsidRDefault="00AB47D2" w:rsidP="00AB47D2">
            <w:pPr>
              <w:rPr>
                <w:rFonts w:ascii="Arial" w:hAnsi="Arial" w:cs="Arial-BoldMT"/>
                <w:sz w:val="18"/>
                <w:szCs w:val="16"/>
              </w:rPr>
            </w:pPr>
            <w:r w:rsidRPr="000F1B13">
              <w:rPr>
                <w:rFonts w:ascii="Arial" w:hAnsi="Arial" w:cs="Arial-BoldMT"/>
                <w:sz w:val="18"/>
                <w:szCs w:val="16"/>
              </w:rPr>
              <w:t>Dependencies: workgroup, deliverables or external factors</w:t>
            </w:r>
          </w:p>
        </w:tc>
        <w:tc>
          <w:tcPr>
            <w:tcW w:w="1459"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 w:hAnsi="Arial" w:cs="Arial-BoldMT"/>
                <w:sz w:val="18"/>
                <w:szCs w:val="16"/>
              </w:rPr>
            </w:pPr>
            <w:r w:rsidRPr="000F1B13">
              <w:rPr>
                <w:rFonts w:ascii="Arial" w:hAnsi="Arial" w:cs="Arial-BoldMT"/>
                <w:sz w:val="18"/>
                <w:szCs w:val="16"/>
              </w:rPr>
              <w:t>Very few dependencies</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AB47D2" w:rsidRPr="000F1B13" w:rsidRDefault="00AB47D2" w:rsidP="00AB47D2">
            <w:pPr>
              <w:rPr>
                <w:rFonts w:ascii="Arial" w:hAnsi="Arial" w:cs="Arial-BoldMT"/>
                <w:sz w:val="18"/>
                <w:szCs w:val="16"/>
              </w:rPr>
            </w:pPr>
            <w:r w:rsidRPr="000F1B13">
              <w:rPr>
                <w:rFonts w:ascii="Arial" w:hAnsi="Arial" w:cs="Arial-BoldMT"/>
                <w:sz w:val="18"/>
                <w:szCs w:val="16"/>
              </w:rPr>
              <w:t>Minor dependencies</w:t>
            </w:r>
          </w:p>
        </w:tc>
        <w:tc>
          <w:tcPr>
            <w:tcW w:w="1452"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 w:hAnsi="Arial" w:cs="Arial-BoldMT"/>
                <w:sz w:val="18"/>
                <w:szCs w:val="16"/>
              </w:rPr>
            </w:pPr>
            <w:r w:rsidRPr="000F1B13">
              <w:rPr>
                <w:rFonts w:ascii="Arial" w:hAnsi="Arial" w:cs="Arial-BoldMT"/>
                <w:sz w:val="18"/>
                <w:szCs w:val="16"/>
              </w:rPr>
              <w:t>Moderate dependencies, may have external dependency</w:t>
            </w:r>
          </w:p>
        </w:tc>
        <w:tc>
          <w:tcPr>
            <w:tcW w:w="1485"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 w:hAnsi="Arial" w:cs="Arial-BoldMT"/>
                <w:sz w:val="18"/>
                <w:szCs w:val="16"/>
              </w:rPr>
            </w:pPr>
            <w:r w:rsidRPr="000F1B13">
              <w:rPr>
                <w:rFonts w:ascii="Arial" w:hAnsi="Arial" w:cs="Arial-BoldMT"/>
                <w:sz w:val="18"/>
                <w:szCs w:val="16"/>
              </w:rPr>
              <w:t>Complex dependencies, may be out of project control</w:t>
            </w:r>
          </w:p>
        </w:tc>
        <w:tc>
          <w:tcPr>
            <w:tcW w:w="986" w:type="dxa"/>
            <w:tcBorders>
              <w:top w:val="single" w:sz="4" w:space="0" w:color="auto"/>
              <w:left w:val="single" w:sz="4" w:space="0" w:color="auto"/>
              <w:bottom w:val="single" w:sz="4" w:space="0" w:color="auto"/>
            </w:tcBorders>
          </w:tcPr>
          <w:p w:rsidR="00AB47D2" w:rsidRPr="000F1B13" w:rsidRDefault="00AB47D2" w:rsidP="00AB47D2">
            <w:pPr>
              <w:rPr>
                <w:rFonts w:ascii="Arial-BoldMT" w:hAnsi="Arial-BoldMT" w:cs="Arial-BoldMT"/>
                <w:iCs/>
                <w:sz w:val="16"/>
                <w:szCs w:val="16"/>
              </w:rPr>
            </w:pPr>
          </w:p>
        </w:tc>
      </w:tr>
      <w:tr w:rsidR="00AB47D2" w:rsidRPr="00F0014E" w:rsidTr="000F1B13">
        <w:trPr>
          <w:trHeight w:val="521"/>
        </w:trPr>
        <w:tc>
          <w:tcPr>
            <w:tcW w:w="2038" w:type="dxa"/>
            <w:tcBorders>
              <w:top w:val="single" w:sz="4" w:space="0" w:color="auto"/>
              <w:bottom w:val="single" w:sz="4" w:space="0" w:color="auto"/>
              <w:right w:val="single" w:sz="4" w:space="0" w:color="auto"/>
            </w:tcBorders>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Technology/Technique</w:t>
            </w:r>
          </w:p>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/Process</w:t>
            </w:r>
          </w:p>
        </w:tc>
        <w:tc>
          <w:tcPr>
            <w:tcW w:w="1459"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Expert</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F</w:t>
            </w:r>
            <w:r w:rsidRPr="000F1B13">
              <w:rPr>
                <w:rFonts w:ascii="Arial" w:hAnsi="Arial" w:cs="Arial-BoldMT"/>
                <w:color w:val="000000" w:themeColor="text1"/>
                <w:sz w:val="18"/>
                <w:szCs w:val="16"/>
                <w:shd w:val="clear" w:color="auto" w:fill="FFFFFF" w:themeFill="background1"/>
              </w:rPr>
              <w:t>amiliar</w:t>
            </w:r>
          </w:p>
        </w:tc>
        <w:tc>
          <w:tcPr>
            <w:tcW w:w="1452"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New to UCSC</w:t>
            </w:r>
          </w:p>
        </w:tc>
        <w:tc>
          <w:tcPr>
            <w:tcW w:w="1485"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Breakthrough</w:t>
            </w:r>
          </w:p>
          <w:p w:rsidR="00AB47D2" w:rsidRPr="000F1B13" w:rsidRDefault="00AB47D2" w:rsidP="00AB47D2">
            <w:pPr>
              <w:rPr>
                <w:rFonts w:ascii="Arial-BoldMT" w:hAnsi="Arial-BoldMT" w:cs="Arial-BoldMT"/>
                <w:i/>
                <w:iCs/>
                <w:color w:val="000000" w:themeColor="text1"/>
                <w:sz w:val="16"/>
                <w:szCs w:val="16"/>
              </w:rPr>
            </w:pPr>
          </w:p>
        </w:tc>
        <w:tc>
          <w:tcPr>
            <w:tcW w:w="986" w:type="dxa"/>
            <w:tcBorders>
              <w:top w:val="single" w:sz="4" w:space="0" w:color="auto"/>
              <w:left w:val="single" w:sz="4" w:space="0" w:color="auto"/>
              <w:bottom w:val="single" w:sz="4" w:space="0" w:color="auto"/>
            </w:tcBorders>
          </w:tcPr>
          <w:p w:rsidR="00AB47D2" w:rsidRPr="000F1B13" w:rsidRDefault="00AB47D2" w:rsidP="00AB47D2">
            <w:pPr>
              <w:rPr>
                <w:rFonts w:ascii="Arial-BoldMT" w:hAnsi="Arial-BoldMT" w:cs="Arial-BoldMT"/>
                <w:iCs/>
                <w:color w:val="000000" w:themeColor="text1"/>
                <w:sz w:val="16"/>
                <w:szCs w:val="16"/>
              </w:rPr>
            </w:pPr>
          </w:p>
        </w:tc>
      </w:tr>
      <w:tr w:rsidR="00AB47D2" w:rsidRPr="00F0014E" w:rsidTr="000F1B13">
        <w:tc>
          <w:tcPr>
            <w:tcW w:w="2038" w:type="dxa"/>
            <w:tcBorders>
              <w:top w:val="single" w:sz="4" w:space="0" w:color="auto"/>
              <w:bottom w:val="single" w:sz="4" w:space="0" w:color="auto"/>
              <w:right w:val="single" w:sz="4" w:space="0" w:color="auto"/>
            </w:tcBorders>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Complexity</w:t>
            </w:r>
          </w:p>
          <w:p w:rsidR="00AB47D2" w:rsidRPr="000F1B13" w:rsidRDefault="00AB47D2" w:rsidP="00AB47D2">
            <w:pPr>
              <w:rPr>
                <w:rFonts w:ascii="Arial-BoldMT" w:hAnsi="Arial-BoldMT" w:cs="Arial-BoldMT"/>
                <w:i/>
                <w:iCs/>
                <w:color w:val="000000" w:themeColor="text1"/>
                <w:sz w:val="16"/>
                <w:szCs w:val="16"/>
              </w:rPr>
            </w:pPr>
          </w:p>
        </w:tc>
        <w:tc>
          <w:tcPr>
            <w:tcW w:w="1459" w:type="dxa"/>
            <w:tcBorders>
              <w:top w:val="single" w:sz="4" w:space="0" w:color="auto"/>
              <w:left w:val="single" w:sz="4" w:space="0" w:color="auto"/>
              <w:bottom w:val="single" w:sz="4" w:space="0" w:color="auto"/>
              <w:right w:val="single" w:sz="4" w:space="0" w:color="auto"/>
            </w:tcBorders>
            <w:shd w:val="clear" w:color="auto" w:fill="FFFFFF" w:themeFill="background1"/>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The solution is</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well defined</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and no</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problems are</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expected</w:t>
            </w:r>
          </w:p>
          <w:p w:rsidR="00AB47D2" w:rsidRPr="000F1B13" w:rsidRDefault="00AB47D2" w:rsidP="00AB47D2">
            <w:pPr>
              <w:rPr>
                <w:rFonts w:ascii="Arial-BoldMT" w:hAnsi="Arial-BoldMT" w:cs="Arial-BoldMT"/>
                <w:i/>
                <w:iCs/>
                <w:color w:val="000000" w:themeColor="text1"/>
                <w:sz w:val="16"/>
                <w:szCs w:val="16"/>
              </w:rPr>
            </w:pPr>
          </w:p>
        </w:tc>
        <w:tc>
          <w:tcPr>
            <w:tcW w:w="1436"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The solution</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has identified</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problems</w:t>
            </w:r>
          </w:p>
        </w:tc>
        <w:tc>
          <w:tcPr>
            <w:tcW w:w="1452"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Multiple</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approaches to the</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project goal</w:t>
            </w:r>
          </w:p>
          <w:p w:rsidR="00AB47D2" w:rsidRPr="000F1B13" w:rsidRDefault="00AB47D2" w:rsidP="00AB47D2">
            <w:pPr>
              <w:rPr>
                <w:rFonts w:ascii="Arial-BoldMT" w:hAnsi="Arial-BoldMT" w:cs="Arial-BoldMT"/>
                <w:i/>
                <w:iCs/>
                <w:color w:val="000000" w:themeColor="text1"/>
                <w:sz w:val="16"/>
                <w:szCs w:val="16"/>
              </w:rPr>
            </w:pPr>
          </w:p>
        </w:tc>
        <w:tc>
          <w:tcPr>
            <w:tcW w:w="1485"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The solution is</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only vaguely</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defined</w:t>
            </w:r>
          </w:p>
          <w:p w:rsidR="00AB47D2" w:rsidRPr="000F1B13" w:rsidRDefault="00AB47D2" w:rsidP="00AB47D2">
            <w:pPr>
              <w:rPr>
                <w:rFonts w:ascii="Arial-BoldMT" w:hAnsi="Arial-BoldMT" w:cs="Arial-BoldMT"/>
                <w:i/>
                <w:iCs/>
                <w:color w:val="000000" w:themeColor="text1"/>
                <w:sz w:val="16"/>
                <w:szCs w:val="16"/>
              </w:rPr>
            </w:pPr>
          </w:p>
        </w:tc>
        <w:tc>
          <w:tcPr>
            <w:tcW w:w="986" w:type="dxa"/>
            <w:tcBorders>
              <w:top w:val="single" w:sz="4" w:space="0" w:color="auto"/>
              <w:left w:val="single" w:sz="4" w:space="0" w:color="auto"/>
              <w:bottom w:val="single" w:sz="4" w:space="0" w:color="auto"/>
            </w:tcBorders>
          </w:tcPr>
          <w:p w:rsidR="00AB47D2" w:rsidRPr="000F1B13" w:rsidRDefault="00AB47D2" w:rsidP="00AB47D2">
            <w:pPr>
              <w:rPr>
                <w:rFonts w:ascii="Arial-BoldMT" w:hAnsi="Arial-BoldMT" w:cs="Arial-BoldMT"/>
                <w:iCs/>
                <w:color w:val="000000" w:themeColor="text1"/>
                <w:sz w:val="16"/>
                <w:szCs w:val="16"/>
              </w:rPr>
            </w:pPr>
          </w:p>
        </w:tc>
      </w:tr>
      <w:tr w:rsidR="00AB47D2" w:rsidRPr="00F0014E" w:rsidTr="000F1B13">
        <w:tc>
          <w:tcPr>
            <w:tcW w:w="2038" w:type="dxa"/>
            <w:tcBorders>
              <w:top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Political Profile/Impact</w:t>
            </w:r>
          </w:p>
        </w:tc>
        <w:tc>
          <w:tcPr>
            <w:tcW w:w="1459"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Unit/Dept</w:t>
            </w:r>
          </w:p>
        </w:tc>
        <w:tc>
          <w:tcPr>
            <w:tcW w:w="1436"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Director Area</w:t>
            </w:r>
          </w:p>
        </w:tc>
        <w:tc>
          <w:tcPr>
            <w:tcW w:w="1452"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VC/Dean Area</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Enterprise-wide</w:t>
            </w:r>
          </w:p>
          <w:p w:rsidR="00AB47D2" w:rsidRPr="000F1B13" w:rsidRDefault="00AB47D2" w:rsidP="00AB47D2">
            <w:pPr>
              <w:rPr>
                <w:rFonts w:ascii="Arial-BoldMT" w:hAnsi="Arial-BoldMT" w:cs="Arial-BoldMT"/>
                <w:i/>
                <w:iCs/>
                <w:color w:val="000000" w:themeColor="text1"/>
                <w:sz w:val="16"/>
                <w:szCs w:val="16"/>
              </w:rPr>
            </w:pPr>
          </w:p>
        </w:tc>
        <w:tc>
          <w:tcPr>
            <w:tcW w:w="986" w:type="dxa"/>
            <w:tcBorders>
              <w:top w:val="single" w:sz="4" w:space="0" w:color="auto"/>
              <w:left w:val="single" w:sz="4" w:space="0" w:color="auto"/>
              <w:bottom w:val="single" w:sz="4" w:space="0" w:color="auto"/>
            </w:tcBorders>
          </w:tcPr>
          <w:p w:rsidR="00AB47D2" w:rsidRPr="000F1B13" w:rsidRDefault="00AB47D2" w:rsidP="00AB47D2">
            <w:pPr>
              <w:rPr>
                <w:rFonts w:ascii="Arial-BoldMT" w:hAnsi="Arial-BoldMT" w:cs="Arial-BoldMT"/>
                <w:iCs/>
                <w:color w:val="000000" w:themeColor="text1"/>
                <w:sz w:val="16"/>
                <w:szCs w:val="16"/>
              </w:rPr>
            </w:pPr>
          </w:p>
        </w:tc>
      </w:tr>
      <w:tr w:rsidR="00AB47D2" w:rsidRPr="00F0014E" w:rsidTr="000F1B13">
        <w:tc>
          <w:tcPr>
            <w:tcW w:w="2038" w:type="dxa"/>
            <w:tcBorders>
              <w:top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Deployment Impact</w:t>
            </w:r>
          </w:p>
        </w:tc>
        <w:tc>
          <w:tcPr>
            <w:tcW w:w="1459"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Unit/Dept</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Director Area</w:t>
            </w:r>
          </w:p>
        </w:tc>
        <w:tc>
          <w:tcPr>
            <w:tcW w:w="1452"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rPr>
                <w:rFonts w:ascii="Arial-BoldMT" w:hAnsi="Arial-BoldMT" w:cs="Arial-BoldMT"/>
                <w:i/>
                <w:iCs/>
                <w:color w:val="000000" w:themeColor="text1"/>
                <w:sz w:val="16"/>
                <w:szCs w:val="16"/>
              </w:rPr>
            </w:pPr>
            <w:r w:rsidRPr="000F1B13">
              <w:rPr>
                <w:rFonts w:ascii="Arial" w:hAnsi="Arial" w:cs="Arial-BoldMT"/>
                <w:color w:val="000000" w:themeColor="text1"/>
                <w:sz w:val="18"/>
                <w:szCs w:val="16"/>
              </w:rPr>
              <w:t>VC/Dean Area</w:t>
            </w:r>
          </w:p>
        </w:tc>
        <w:tc>
          <w:tcPr>
            <w:tcW w:w="1485" w:type="dxa"/>
            <w:tcBorders>
              <w:top w:val="single" w:sz="4" w:space="0" w:color="auto"/>
              <w:left w:val="single" w:sz="4" w:space="0" w:color="auto"/>
              <w:bottom w:val="single" w:sz="4" w:space="0" w:color="auto"/>
              <w:right w:val="single" w:sz="4" w:space="0" w:color="auto"/>
            </w:tcBorders>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Enterprise-wide</w:t>
            </w:r>
          </w:p>
          <w:p w:rsidR="00AB47D2" w:rsidRPr="000F1B13" w:rsidRDefault="00AB47D2" w:rsidP="00AB47D2">
            <w:pPr>
              <w:rPr>
                <w:rFonts w:ascii="Arial-BoldMT" w:hAnsi="Arial-BoldMT" w:cs="Arial-BoldMT"/>
                <w:i/>
                <w:iCs/>
                <w:color w:val="000000" w:themeColor="text1"/>
                <w:sz w:val="16"/>
                <w:szCs w:val="16"/>
              </w:rPr>
            </w:pPr>
          </w:p>
        </w:tc>
        <w:tc>
          <w:tcPr>
            <w:tcW w:w="986" w:type="dxa"/>
            <w:tcBorders>
              <w:top w:val="single" w:sz="4" w:space="0" w:color="auto"/>
              <w:left w:val="single" w:sz="4" w:space="0" w:color="auto"/>
              <w:bottom w:val="single" w:sz="4" w:space="0" w:color="auto"/>
            </w:tcBorders>
          </w:tcPr>
          <w:p w:rsidR="00AB47D2" w:rsidRPr="000F1B13" w:rsidRDefault="00AB47D2" w:rsidP="00AB47D2">
            <w:pPr>
              <w:rPr>
                <w:rFonts w:ascii="Arial-BoldMT" w:hAnsi="Arial-BoldMT" w:cs="Arial-BoldMT"/>
                <w:iCs/>
                <w:color w:val="000000" w:themeColor="text1"/>
                <w:sz w:val="16"/>
                <w:szCs w:val="16"/>
              </w:rPr>
            </w:pPr>
          </w:p>
        </w:tc>
      </w:tr>
      <w:tr w:rsidR="00AB47D2" w:rsidRPr="00F0014E" w:rsidTr="00AB47D2">
        <w:tc>
          <w:tcPr>
            <w:tcW w:w="2038" w:type="dxa"/>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Risk Scoring</w:t>
            </w:r>
          </w:p>
          <w:p w:rsidR="00AB47D2" w:rsidRPr="000F1B13" w:rsidRDefault="00AB47D2" w:rsidP="00AB47D2">
            <w:pPr>
              <w:rPr>
                <w:rFonts w:ascii="Arial-BoldMT" w:hAnsi="Arial-BoldMT" w:cs="Arial-BoldMT"/>
                <w:i/>
                <w:iCs/>
                <w:color w:val="000000" w:themeColor="text1"/>
                <w:sz w:val="16"/>
                <w:szCs w:val="16"/>
              </w:rPr>
            </w:pPr>
          </w:p>
        </w:tc>
        <w:tc>
          <w:tcPr>
            <w:tcW w:w="4347" w:type="dxa"/>
            <w:gridSpan w:val="3"/>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[0-5] Add 20% contingency (standard)</w:t>
            </w:r>
          </w:p>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[6-11] Add 30% contingency</w:t>
            </w:r>
          </w:p>
          <w:p w:rsidR="00AB47D2" w:rsidRPr="000F1B13" w:rsidRDefault="00AB47D2" w:rsidP="00AB47D2">
            <w:pPr>
              <w:rPr>
                <w:rFonts w:ascii="Arial" w:hAnsi="Arial" w:cs="Arial-BoldMT"/>
                <w:color w:val="000000" w:themeColor="text1"/>
                <w:sz w:val="18"/>
                <w:szCs w:val="16"/>
              </w:rPr>
            </w:pPr>
            <w:r w:rsidRPr="000F1B13">
              <w:rPr>
                <w:rFonts w:ascii="Arial" w:hAnsi="Arial" w:cs="Arial-BoldMT"/>
                <w:color w:val="000000" w:themeColor="text1"/>
                <w:sz w:val="18"/>
                <w:szCs w:val="16"/>
              </w:rPr>
              <w:t>[12-17] Add 40% contingency</w:t>
            </w:r>
          </w:p>
          <w:p w:rsidR="00AB47D2" w:rsidRPr="000F1B13" w:rsidRDefault="00AB47D2" w:rsidP="00AB47D2">
            <w:pPr>
              <w:rPr>
                <w:rFonts w:ascii="Arial" w:hAnsi="Arial" w:cs="Arial-BoldMT"/>
                <w:color w:val="000000" w:themeColor="text1"/>
                <w:sz w:val="18"/>
                <w:szCs w:val="16"/>
              </w:rPr>
            </w:pPr>
            <w:r w:rsidRPr="000F1B13">
              <w:rPr>
                <w:rFonts w:ascii="Arial" w:hAnsi="Arial" w:cs="Arial-BoldMT"/>
                <w:color w:val="000000" w:themeColor="text1"/>
                <w:sz w:val="18"/>
                <w:szCs w:val="16"/>
              </w:rPr>
              <w:t>[18-23] Add 50% contingency</w:t>
            </w:r>
            <w:r w:rsidR="00AD1309" w:rsidRPr="000F1B13">
              <w:rPr>
                <w:rFonts w:ascii="Arial" w:hAnsi="Arial" w:cs="Arial-BoldMT"/>
                <w:color w:val="000000" w:themeColor="text1"/>
                <w:sz w:val="18"/>
                <w:szCs w:val="16"/>
              </w:rPr>
              <w:t xml:space="preserve"> **</w:t>
            </w:r>
            <w:bookmarkStart w:id="0" w:name="_GoBack"/>
            <w:bookmarkEnd w:id="0"/>
          </w:p>
          <w:p w:rsidR="00AB47D2" w:rsidRPr="000F1B13" w:rsidRDefault="00AB47D2" w:rsidP="00AB47D2">
            <w:pPr>
              <w:rPr>
                <w:rFonts w:ascii="Arial" w:hAnsi="Arial" w:cs="Arial-BoldMT"/>
                <w:color w:val="000000" w:themeColor="text1"/>
                <w:sz w:val="18"/>
                <w:szCs w:val="16"/>
              </w:rPr>
            </w:pPr>
            <w:r w:rsidRPr="000F1B13">
              <w:rPr>
                <w:rFonts w:ascii="Arial" w:hAnsi="Arial" w:cs="Arial-BoldMT"/>
                <w:color w:val="000000" w:themeColor="text1"/>
                <w:sz w:val="18"/>
                <w:szCs w:val="16"/>
              </w:rPr>
              <w:t>[24-28] Add 60% contingency or more</w:t>
            </w:r>
            <w:r w:rsidR="00AD1309" w:rsidRPr="000F1B13">
              <w:rPr>
                <w:rFonts w:ascii="Arial" w:hAnsi="Arial" w:cs="Arial-BoldMT"/>
                <w:color w:val="000000" w:themeColor="text1"/>
                <w:sz w:val="18"/>
                <w:szCs w:val="16"/>
              </w:rPr>
              <w:t xml:space="preserve"> **</w:t>
            </w:r>
          </w:p>
        </w:tc>
        <w:tc>
          <w:tcPr>
            <w:tcW w:w="1485" w:type="dxa"/>
          </w:tcPr>
          <w:p w:rsidR="00AB47D2" w:rsidRPr="000F1B13" w:rsidRDefault="00AB47D2" w:rsidP="00AB47D2">
            <w:pPr>
              <w:widowControl w:val="0"/>
              <w:autoSpaceDE w:val="0"/>
              <w:autoSpaceDN w:val="0"/>
              <w:adjustRightInd w:val="0"/>
              <w:rPr>
                <w:rFonts w:ascii="Arial" w:hAnsi="Arial" w:cs="Arial-BoldMT"/>
                <w:color w:val="000000" w:themeColor="text1"/>
                <w:sz w:val="18"/>
                <w:szCs w:val="16"/>
              </w:rPr>
            </w:pPr>
            <w:r w:rsidRPr="000F1B13">
              <w:rPr>
                <w:rFonts w:ascii="Arial" w:hAnsi="Arial" w:cs="Arial-BoldMT"/>
                <w:color w:val="000000" w:themeColor="text1"/>
                <w:sz w:val="18"/>
                <w:szCs w:val="16"/>
              </w:rPr>
              <w:t>TOTAL</w:t>
            </w:r>
          </w:p>
          <w:p w:rsidR="00AB47D2" w:rsidRPr="000F1B13" w:rsidRDefault="00AB47D2" w:rsidP="00AB47D2">
            <w:pPr>
              <w:rPr>
                <w:rFonts w:ascii="Arial-BoldMT" w:hAnsi="Arial-BoldMT" w:cs="Arial-BoldMT"/>
                <w:i/>
                <w:iCs/>
                <w:color w:val="000000" w:themeColor="text1"/>
                <w:sz w:val="16"/>
                <w:szCs w:val="16"/>
              </w:rPr>
            </w:pPr>
          </w:p>
        </w:tc>
        <w:tc>
          <w:tcPr>
            <w:tcW w:w="986" w:type="dxa"/>
          </w:tcPr>
          <w:p w:rsidR="00AB47D2" w:rsidRPr="000F1B13" w:rsidRDefault="00AB47D2" w:rsidP="00AB47D2">
            <w:pPr>
              <w:rPr>
                <w:rFonts w:ascii="Arial-BoldMT" w:hAnsi="Arial-BoldMT" w:cs="Arial-BoldMT"/>
                <w:b/>
                <w:iCs/>
                <w:color w:val="000000" w:themeColor="text1"/>
              </w:rPr>
            </w:pPr>
          </w:p>
        </w:tc>
      </w:tr>
    </w:tbl>
    <w:p w:rsidR="00AB47D2" w:rsidRDefault="00AB47D2"/>
    <w:p w:rsidR="00AB47D2" w:rsidRPr="00AB47D2" w:rsidRDefault="00AB47D2" w:rsidP="00AB47D2"/>
    <w:p w:rsidR="00AB47D2" w:rsidRPr="00AB47D2" w:rsidRDefault="00AB47D2" w:rsidP="00AB47D2">
      <w:pPr>
        <w:rPr>
          <w:rFonts w:ascii="Arial" w:hAnsi="Arial" w:cs="Arial"/>
          <w:b/>
        </w:rPr>
      </w:pPr>
      <w:r w:rsidRPr="00AB47D2">
        <w:rPr>
          <w:rFonts w:ascii="Arial" w:hAnsi="Arial" w:cs="Arial"/>
          <w:b/>
        </w:rPr>
        <w:t>** Notes for High Risk Projects</w:t>
      </w:r>
    </w:p>
    <w:p w:rsidR="00AB47D2" w:rsidRDefault="00AD1309" w:rsidP="00AB47D2">
      <w:pPr>
        <w:spacing w:before="120"/>
        <w:rPr>
          <w:rFonts w:ascii="Garamond" w:hAnsi="Garamond"/>
          <w:sz w:val="22"/>
          <w:szCs w:val="22"/>
        </w:rPr>
      </w:pPr>
      <w:r>
        <w:rPr>
          <w:rFonts w:ascii="Garamond" w:hAnsi="Garamond"/>
          <w:sz w:val="22"/>
          <w:szCs w:val="22"/>
        </w:rPr>
        <w:t>If your project scored more than 17 points in the Contingency Matrix, it is considered “High Risk.” For High Risk projects, we strongly recommend incorporating the following activities into the project planning phase:</w:t>
      </w:r>
    </w:p>
    <w:p w:rsidR="00AD1309" w:rsidRDefault="00AD1309" w:rsidP="002C60BC">
      <w:pPr>
        <w:pStyle w:val="ListParagraph"/>
        <w:numPr>
          <w:ilvl w:val="0"/>
          <w:numId w:val="3"/>
        </w:numPr>
        <w:spacing w:after="60"/>
        <w:contextualSpacing w:val="0"/>
        <w:rPr>
          <w:rFonts w:ascii="Garamond" w:hAnsi="Garamond"/>
          <w:sz w:val="22"/>
          <w:szCs w:val="22"/>
        </w:rPr>
      </w:pPr>
      <w:r>
        <w:rPr>
          <w:rFonts w:ascii="Garamond" w:hAnsi="Garamond"/>
          <w:sz w:val="22"/>
          <w:szCs w:val="22"/>
        </w:rPr>
        <w:t>Invest time in a work breakdown structure and project plan with as much detail as possible. This will make your pre-contingency estimates as close as possible, and will uncover additional risks.</w:t>
      </w:r>
    </w:p>
    <w:p w:rsidR="002C60BC" w:rsidRDefault="002C60BC" w:rsidP="002C60BC">
      <w:pPr>
        <w:pStyle w:val="ListParagraph"/>
        <w:numPr>
          <w:ilvl w:val="0"/>
          <w:numId w:val="3"/>
        </w:numPr>
        <w:spacing w:after="60"/>
        <w:contextualSpacing w:val="0"/>
        <w:rPr>
          <w:rFonts w:ascii="Garamond" w:hAnsi="Garamond"/>
          <w:sz w:val="22"/>
          <w:szCs w:val="22"/>
        </w:rPr>
      </w:pPr>
      <w:r>
        <w:rPr>
          <w:rFonts w:ascii="Garamond" w:hAnsi="Garamond"/>
          <w:sz w:val="22"/>
          <w:szCs w:val="22"/>
        </w:rPr>
        <w:t>Consider alternate approaches to the project that may reduce the risk. For example, phasing the work to control scope in any given section, or cutting complex deliverables out of scope.</w:t>
      </w:r>
    </w:p>
    <w:p w:rsidR="002C60BC" w:rsidRPr="002C60BC" w:rsidRDefault="002C60BC" w:rsidP="002C60BC">
      <w:pPr>
        <w:pStyle w:val="ListParagraph"/>
        <w:numPr>
          <w:ilvl w:val="0"/>
          <w:numId w:val="4"/>
        </w:numPr>
        <w:spacing w:after="60"/>
        <w:contextualSpacing w:val="0"/>
        <w:rPr>
          <w:rFonts w:ascii="Arial" w:hAnsi="Arial" w:cs="Arial"/>
          <w:color w:val="222222"/>
          <w:sz w:val="20"/>
          <w:szCs w:val="20"/>
        </w:rPr>
      </w:pPr>
      <w:r w:rsidRPr="002C60BC">
        <w:rPr>
          <w:rFonts w:ascii="Garamond" w:hAnsi="Garamond"/>
          <w:sz w:val="22"/>
          <w:szCs w:val="22"/>
        </w:rPr>
        <w:t>In your charter’s Risk Management Plan, take extra time to describe</w:t>
      </w:r>
      <w:r w:rsidR="00AD1309" w:rsidRPr="002C60BC">
        <w:rPr>
          <w:rFonts w:ascii="Garamond" w:hAnsi="Garamond"/>
          <w:sz w:val="22"/>
          <w:szCs w:val="22"/>
        </w:rPr>
        <w:t xml:space="preserve"> risks and dependencies</w:t>
      </w:r>
      <w:r w:rsidRPr="002C60BC">
        <w:rPr>
          <w:rFonts w:ascii="Garamond" w:hAnsi="Garamond"/>
          <w:sz w:val="22"/>
          <w:szCs w:val="22"/>
        </w:rPr>
        <w:t>, and articulate mitigation plans. Which areas from the Contingency Matrix are most likely to cause problems, and how will you respond when problems arise?</w:t>
      </w:r>
    </w:p>
    <w:p w:rsidR="00AB47D2" w:rsidRPr="002C60BC" w:rsidRDefault="002C60BC" w:rsidP="002C60BC">
      <w:pPr>
        <w:pStyle w:val="ListParagraph"/>
        <w:numPr>
          <w:ilvl w:val="0"/>
          <w:numId w:val="4"/>
        </w:numPr>
        <w:spacing w:after="60"/>
        <w:contextualSpacing w:val="0"/>
        <w:rPr>
          <w:rFonts w:ascii="Arial" w:hAnsi="Arial" w:cs="Arial"/>
          <w:color w:val="222222"/>
          <w:sz w:val="20"/>
          <w:szCs w:val="20"/>
        </w:rPr>
      </w:pPr>
      <w:r>
        <w:rPr>
          <w:rFonts w:ascii="Garamond" w:hAnsi="Garamond"/>
          <w:sz w:val="22"/>
          <w:szCs w:val="22"/>
        </w:rPr>
        <w:t>Invest additional time in documenting requests for resources, including language about the risks of project delay. Ask project sponsors and resource managers to pay careful attention when they commit their staff to the project, to head off future conflict.</w:t>
      </w:r>
    </w:p>
    <w:sectPr w:rsidR="00AB47D2" w:rsidRPr="002C60BC" w:rsidSect="00FF0A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0CF2"/>
    <w:multiLevelType w:val="multilevel"/>
    <w:tmpl w:val="92987354"/>
    <w:lvl w:ilvl="0">
      <w:start w:val="1"/>
      <w:numFmt w:val="decimal"/>
      <w:pStyle w:val="Requirement"/>
      <w:lvlText w:val="%1.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375F641E"/>
    <w:multiLevelType w:val="multilevel"/>
    <w:tmpl w:val="607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17AD7"/>
    <w:multiLevelType w:val="hybridMultilevel"/>
    <w:tmpl w:val="9464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E0CCB"/>
    <w:rsid w:val="000F1B13"/>
    <w:rsid w:val="002C60BC"/>
    <w:rsid w:val="007E0CCB"/>
    <w:rsid w:val="00AB47D2"/>
    <w:rsid w:val="00AD1309"/>
    <w:rsid w:val="00D811FA"/>
    <w:rsid w:val="00F001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SHeading1">
    <w:name w:val="ITS Heading 1"/>
    <w:next w:val="Normal"/>
    <w:rsid w:val="009A5BD3"/>
    <w:pPr>
      <w:pBdr>
        <w:bottom w:val="single" w:sz="2" w:space="1" w:color="auto"/>
      </w:pBdr>
      <w:tabs>
        <w:tab w:val="left" w:pos="432"/>
      </w:tabs>
      <w:spacing w:before="480" w:after="480"/>
      <w:outlineLvl w:val="0"/>
    </w:pPr>
    <w:rPr>
      <w:rFonts w:ascii="Helvetica" w:eastAsia="Times New Roman" w:hAnsi="Helvetica" w:cs="Times New Roman"/>
      <w:b/>
      <w:sz w:val="36"/>
      <w:szCs w:val="20"/>
    </w:rPr>
  </w:style>
  <w:style w:type="paragraph" w:customStyle="1" w:styleId="Requirement">
    <w:name w:val="Requirement"/>
    <w:basedOn w:val="Normal"/>
    <w:qFormat/>
    <w:rsid w:val="009A5BD3"/>
    <w:pPr>
      <w:numPr>
        <w:numId w:val="2"/>
      </w:numPr>
      <w:spacing w:before="120" w:line="240" w:lineRule="atLeast"/>
    </w:pPr>
    <w:rPr>
      <w:rFonts w:ascii="Garamond" w:eastAsia="MS Mincho" w:hAnsi="Garamond"/>
      <w:sz w:val="22"/>
      <w:szCs w:val="20"/>
    </w:rPr>
  </w:style>
  <w:style w:type="paragraph" w:styleId="ListParagraph">
    <w:name w:val="List Paragraph"/>
    <w:basedOn w:val="Normal"/>
    <w:uiPriority w:val="34"/>
    <w:qFormat/>
    <w:rsid w:val="00AD1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3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dc:creator>
  <cp:keywords/>
  <cp:lastModifiedBy>Teresa Silva</cp:lastModifiedBy>
  <cp:revision>5</cp:revision>
  <dcterms:created xsi:type="dcterms:W3CDTF">2012-01-23T22:13:00Z</dcterms:created>
  <dcterms:modified xsi:type="dcterms:W3CDTF">2013-01-10T20:32:00Z</dcterms:modified>
</cp:coreProperties>
</file>